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17BF" w:rsidRPr="00A43699" w:rsidRDefault="00772D4E" w:rsidP="00A43699">
      <w:pPr>
        <w:spacing w:after="0" w:line="360" w:lineRule="auto"/>
        <w:jc w:val="both"/>
        <w:outlineLvl w:val="1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t-BR"/>
        </w:rPr>
      </w:pPr>
      <w:r w:rsidRPr="00A43699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t-BR"/>
        </w:rPr>
        <w:t>Banco do Brasil</w:t>
      </w:r>
    </w:p>
    <w:p w:rsidR="00772D4E" w:rsidRPr="00A43699" w:rsidRDefault="00F917BF" w:rsidP="00A43699">
      <w:pPr>
        <w:spacing w:after="0" w:line="360" w:lineRule="auto"/>
        <w:jc w:val="both"/>
        <w:outlineLvl w:val="1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t-BR"/>
        </w:rPr>
      </w:pPr>
      <w:r w:rsidRPr="00A43699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t-BR"/>
        </w:rPr>
        <w:t>P</w:t>
      </w:r>
      <w:r w:rsidR="00772D4E" w:rsidRPr="00A43699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t-BR"/>
        </w:rPr>
        <w:t>roposta para renovação do ACT específico</w:t>
      </w:r>
    </w:p>
    <w:p w:rsidR="00772D4E" w:rsidRPr="00A43699" w:rsidRDefault="00772D4E" w:rsidP="00A43699">
      <w:pPr>
        <w:spacing w:after="0" w:line="360" w:lineRule="auto"/>
        <w:jc w:val="both"/>
        <w:rPr>
          <w:rFonts w:ascii="Tahoma" w:eastAsia="Times New Roman" w:hAnsi="Tahoma" w:cs="Tahoma"/>
          <w:sz w:val="24"/>
          <w:szCs w:val="24"/>
          <w:lang w:eastAsia="pt-BR"/>
        </w:rPr>
      </w:pPr>
    </w:p>
    <w:p w:rsidR="00A43699" w:rsidRPr="00A43699" w:rsidRDefault="00772D4E" w:rsidP="00A43699">
      <w:pPr>
        <w:spacing w:after="0" w:line="360" w:lineRule="auto"/>
        <w:jc w:val="both"/>
        <w:rPr>
          <w:rFonts w:ascii="Tahoma" w:eastAsia="Times New Roman" w:hAnsi="Tahoma" w:cs="Tahoma"/>
          <w:color w:val="222222"/>
          <w:sz w:val="24"/>
          <w:szCs w:val="24"/>
          <w:lang w:eastAsia="pt-BR"/>
        </w:rPr>
      </w:pPr>
      <w:r w:rsidRPr="00A43699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t>No décimo primeiro encontro, o banco apresentou a proposta final para o acordo, com novos compromissos relacionados à Cassi e ao Plano d</w:t>
      </w:r>
      <w:r w:rsidR="00A43699" w:rsidRPr="00A43699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t>e Carreira e Remuneração (PCR).</w:t>
      </w:r>
    </w:p>
    <w:p w:rsidR="00A43699" w:rsidRDefault="00772D4E" w:rsidP="00A43699">
      <w:pPr>
        <w:spacing w:after="0" w:line="360" w:lineRule="auto"/>
        <w:jc w:val="both"/>
        <w:rPr>
          <w:rFonts w:ascii="Tahoma" w:eastAsia="Times New Roman" w:hAnsi="Tahoma" w:cs="Tahoma"/>
          <w:color w:val="222222"/>
          <w:sz w:val="24"/>
          <w:szCs w:val="24"/>
          <w:lang w:eastAsia="pt-BR"/>
        </w:rPr>
      </w:pPr>
      <w:r w:rsidRPr="00A43699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t>Entre as medidas apresentadas está o adiantamento de R$ 360 milhões da contribuição patronal do Banco do Brasil para o Plano de Associados da Cassi. O recurso permitirá a manutenção das reservas mínimas do plano até novembro de 2026. Segundo o banco, a medida busca criar condições para que, junto às entidades representativas, seja construída uma proposta co</w:t>
      </w:r>
      <w:r w:rsidR="00A43699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t>njunta para o custeio da Cassi.</w:t>
      </w:r>
      <w:r w:rsidRPr="00A43699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br/>
        <w:t>O BB também assumiu o compromisso de realizar estudos para revisão dos critérios do Plano de Carreira e Remuneração, com encaminhamento às instâncias de governança competentes até o final do pr</w:t>
      </w:r>
      <w:r w:rsidR="00A43699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t>imeiro semestre de 2027.</w:t>
      </w:r>
    </w:p>
    <w:p w:rsidR="00772D4E" w:rsidRDefault="00772D4E" w:rsidP="00A43699">
      <w:pPr>
        <w:spacing w:after="0" w:line="360" w:lineRule="auto"/>
        <w:jc w:val="both"/>
        <w:rPr>
          <w:rFonts w:ascii="Tahoma" w:eastAsia="Times New Roman" w:hAnsi="Tahoma" w:cs="Tahoma"/>
          <w:color w:val="222222"/>
          <w:sz w:val="24"/>
          <w:szCs w:val="24"/>
          <w:lang w:eastAsia="pt-BR"/>
        </w:rPr>
      </w:pPr>
      <w:r w:rsidRPr="00A43699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br/>
        <w:t>Além dos novos compromissos, a proposta contempla os demais pontos apresentados pelo Banco do Brasil nas rodadas anteriores.</w:t>
      </w:r>
    </w:p>
    <w:p w:rsidR="00A43699" w:rsidRPr="00A43699" w:rsidRDefault="00A43699" w:rsidP="00A43699">
      <w:pPr>
        <w:spacing w:after="0" w:line="360" w:lineRule="auto"/>
        <w:jc w:val="both"/>
        <w:rPr>
          <w:rFonts w:ascii="Tahoma" w:eastAsia="Times New Roman" w:hAnsi="Tahoma" w:cs="Tahoma"/>
          <w:color w:val="222222"/>
          <w:sz w:val="24"/>
          <w:szCs w:val="24"/>
          <w:lang w:eastAsia="pt-BR"/>
        </w:rPr>
      </w:pPr>
      <w:bookmarkStart w:id="0" w:name="_GoBack"/>
      <w:bookmarkEnd w:id="0"/>
    </w:p>
    <w:p w:rsidR="00772D4E" w:rsidRPr="00A43699" w:rsidRDefault="00772D4E" w:rsidP="00A43699">
      <w:pPr>
        <w:spacing w:after="0" w:line="360" w:lineRule="auto"/>
        <w:jc w:val="both"/>
        <w:rPr>
          <w:rFonts w:ascii="Tahoma" w:eastAsia="Times New Roman" w:hAnsi="Tahoma" w:cs="Tahoma"/>
          <w:color w:val="222222"/>
          <w:sz w:val="24"/>
          <w:szCs w:val="24"/>
          <w:lang w:eastAsia="pt-BR"/>
        </w:rPr>
      </w:pPr>
      <w:r w:rsidRPr="00A43699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t>Entre as medidas apresentadas pelo banco estão:</w:t>
      </w:r>
    </w:p>
    <w:p w:rsidR="00772D4E" w:rsidRPr="00A43699" w:rsidRDefault="00772D4E" w:rsidP="00A43699">
      <w:pPr>
        <w:numPr>
          <w:ilvl w:val="0"/>
          <w:numId w:val="1"/>
        </w:numPr>
        <w:spacing w:after="0" w:line="360" w:lineRule="auto"/>
        <w:ind w:left="630"/>
        <w:jc w:val="both"/>
        <w:rPr>
          <w:rFonts w:ascii="Tahoma" w:eastAsia="Times New Roman" w:hAnsi="Tahoma" w:cs="Tahoma"/>
          <w:color w:val="222222"/>
          <w:sz w:val="24"/>
          <w:szCs w:val="24"/>
          <w:lang w:eastAsia="pt-BR"/>
        </w:rPr>
      </w:pPr>
      <w:r w:rsidRPr="00A43699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t>Abono de ausência no dia 31 de dezembro de 2026;</w:t>
      </w:r>
    </w:p>
    <w:p w:rsidR="00772D4E" w:rsidRPr="00A43699" w:rsidRDefault="00772D4E" w:rsidP="00A43699">
      <w:pPr>
        <w:numPr>
          <w:ilvl w:val="0"/>
          <w:numId w:val="1"/>
        </w:numPr>
        <w:spacing w:after="0" w:line="360" w:lineRule="auto"/>
        <w:ind w:left="630"/>
        <w:jc w:val="both"/>
        <w:rPr>
          <w:rFonts w:ascii="Tahoma" w:eastAsia="Times New Roman" w:hAnsi="Tahoma" w:cs="Tahoma"/>
          <w:color w:val="222222"/>
          <w:sz w:val="24"/>
          <w:szCs w:val="24"/>
          <w:lang w:eastAsia="pt-BR"/>
        </w:rPr>
      </w:pPr>
      <w:r w:rsidRPr="00A43699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t xml:space="preserve">Ampliação da </w:t>
      </w:r>
      <w:proofErr w:type="spellStart"/>
      <w:r w:rsidRPr="00A43699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t>licença-paternidade</w:t>
      </w:r>
      <w:proofErr w:type="spellEnd"/>
      <w:r w:rsidRPr="00A43699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t xml:space="preserve"> de 20 para 35 dias, para pais de filhos nascidos a partir de 30 dias após a assinatura do ACT;</w:t>
      </w:r>
    </w:p>
    <w:p w:rsidR="00772D4E" w:rsidRPr="00A43699" w:rsidRDefault="00772D4E" w:rsidP="00A43699">
      <w:pPr>
        <w:numPr>
          <w:ilvl w:val="0"/>
          <w:numId w:val="1"/>
        </w:numPr>
        <w:spacing w:after="0" w:line="360" w:lineRule="auto"/>
        <w:ind w:left="630"/>
        <w:jc w:val="both"/>
        <w:rPr>
          <w:rFonts w:ascii="Tahoma" w:eastAsia="Times New Roman" w:hAnsi="Tahoma" w:cs="Tahoma"/>
          <w:color w:val="222222"/>
          <w:sz w:val="24"/>
          <w:szCs w:val="24"/>
          <w:lang w:eastAsia="pt-BR"/>
        </w:rPr>
      </w:pPr>
      <w:r w:rsidRPr="00A43699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t>Elevação do auxílio para filhos com deficiência, de R$ 760,48 para R$ 874,55, aumento de 15%, ainda sem considerar o índice de reajuste da Campanha Nacional 2026;</w:t>
      </w:r>
    </w:p>
    <w:p w:rsidR="00772D4E" w:rsidRPr="00A43699" w:rsidRDefault="00772D4E" w:rsidP="00A43699">
      <w:pPr>
        <w:numPr>
          <w:ilvl w:val="0"/>
          <w:numId w:val="1"/>
        </w:numPr>
        <w:spacing w:after="0" w:line="360" w:lineRule="auto"/>
        <w:ind w:left="630"/>
        <w:jc w:val="both"/>
        <w:rPr>
          <w:rFonts w:ascii="Tahoma" w:eastAsia="Times New Roman" w:hAnsi="Tahoma" w:cs="Tahoma"/>
          <w:color w:val="222222"/>
          <w:sz w:val="24"/>
          <w:szCs w:val="24"/>
          <w:lang w:eastAsia="pt-BR"/>
        </w:rPr>
      </w:pPr>
      <w:r w:rsidRPr="00A43699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t>Reavaliação da função dos atendentes de central de relacionamento e atendentes do SAC, com novos papéis e responsabilidades e elevação do salário de referência de R$ 4.795,12 para R$ 6.302,77, a partir de janeiro de 2027, também sem considerar o reajuste da Campanha Nacional. Atualmente, são 558 funcionárias e funcionários na função, com previsão de abertura de mais 30 vagas;</w:t>
      </w:r>
    </w:p>
    <w:p w:rsidR="00772D4E" w:rsidRPr="00A43699" w:rsidRDefault="00772D4E" w:rsidP="00A43699">
      <w:pPr>
        <w:numPr>
          <w:ilvl w:val="0"/>
          <w:numId w:val="1"/>
        </w:numPr>
        <w:spacing w:after="0" w:line="360" w:lineRule="auto"/>
        <w:ind w:left="630"/>
        <w:jc w:val="both"/>
        <w:rPr>
          <w:rFonts w:ascii="Tahoma" w:eastAsia="Times New Roman" w:hAnsi="Tahoma" w:cs="Tahoma"/>
          <w:color w:val="222222"/>
          <w:sz w:val="24"/>
          <w:szCs w:val="24"/>
          <w:lang w:eastAsia="pt-BR"/>
        </w:rPr>
      </w:pPr>
      <w:r w:rsidRPr="00A43699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lastRenderedPageBreak/>
        <w:t xml:space="preserve">Criação de mesa específica para tratar dos modelos de acompanhamento da rede </w:t>
      </w:r>
      <w:proofErr w:type="spellStart"/>
      <w:r w:rsidRPr="00A43699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t>Diope</w:t>
      </w:r>
      <w:proofErr w:type="spellEnd"/>
      <w:r w:rsidRPr="00A43699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t>;</w:t>
      </w:r>
    </w:p>
    <w:p w:rsidR="00772D4E" w:rsidRPr="00A43699" w:rsidRDefault="00772D4E" w:rsidP="00A43699">
      <w:pPr>
        <w:numPr>
          <w:ilvl w:val="0"/>
          <w:numId w:val="1"/>
        </w:numPr>
        <w:spacing w:after="0" w:line="360" w:lineRule="auto"/>
        <w:ind w:left="630"/>
        <w:jc w:val="both"/>
        <w:rPr>
          <w:rFonts w:ascii="Tahoma" w:eastAsia="Times New Roman" w:hAnsi="Tahoma" w:cs="Tahoma"/>
          <w:color w:val="222222"/>
          <w:sz w:val="24"/>
          <w:szCs w:val="24"/>
          <w:lang w:eastAsia="pt-BR"/>
        </w:rPr>
      </w:pPr>
      <w:r w:rsidRPr="00A43699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t>Revisão dos exames complementares, a partir de 2027, para identificação e monitoramento de doenças crônicas, como diabetes, hipertensão e dislipidemia;</w:t>
      </w:r>
    </w:p>
    <w:p w:rsidR="00772D4E" w:rsidRPr="00A43699" w:rsidRDefault="00772D4E" w:rsidP="00A43699">
      <w:pPr>
        <w:numPr>
          <w:ilvl w:val="0"/>
          <w:numId w:val="1"/>
        </w:numPr>
        <w:spacing w:after="0" w:line="360" w:lineRule="auto"/>
        <w:ind w:left="630"/>
        <w:jc w:val="both"/>
        <w:rPr>
          <w:rFonts w:ascii="Tahoma" w:eastAsia="Times New Roman" w:hAnsi="Tahoma" w:cs="Tahoma"/>
          <w:color w:val="222222"/>
          <w:sz w:val="24"/>
          <w:szCs w:val="24"/>
          <w:lang w:eastAsia="pt-BR"/>
        </w:rPr>
      </w:pPr>
      <w:r w:rsidRPr="00A43699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t xml:space="preserve">Inclusão dos funcionários egressos dos bancos incorporados no Programa Bem Viver, condicionada à expansão do atendimento nas </w:t>
      </w:r>
      <w:proofErr w:type="spellStart"/>
      <w:r w:rsidRPr="00A43699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t>CliniCassi</w:t>
      </w:r>
      <w:proofErr w:type="spellEnd"/>
      <w:r w:rsidRPr="00A43699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t>;</w:t>
      </w:r>
    </w:p>
    <w:p w:rsidR="00772D4E" w:rsidRPr="00A43699" w:rsidRDefault="00772D4E" w:rsidP="00A43699">
      <w:pPr>
        <w:numPr>
          <w:ilvl w:val="0"/>
          <w:numId w:val="1"/>
        </w:numPr>
        <w:spacing w:after="0" w:line="360" w:lineRule="auto"/>
        <w:ind w:left="630"/>
        <w:jc w:val="both"/>
        <w:rPr>
          <w:rFonts w:ascii="Tahoma" w:eastAsia="Times New Roman" w:hAnsi="Tahoma" w:cs="Tahoma"/>
          <w:color w:val="222222"/>
          <w:sz w:val="24"/>
          <w:szCs w:val="24"/>
          <w:lang w:eastAsia="pt-BR"/>
        </w:rPr>
      </w:pPr>
      <w:r w:rsidRPr="00A43699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t>Adoção do modelo do SESMT para atendimento à NR-1;</w:t>
      </w:r>
    </w:p>
    <w:p w:rsidR="00772D4E" w:rsidRPr="00A43699" w:rsidRDefault="00772D4E" w:rsidP="00A43699">
      <w:pPr>
        <w:numPr>
          <w:ilvl w:val="0"/>
          <w:numId w:val="1"/>
        </w:numPr>
        <w:spacing w:after="0" w:line="360" w:lineRule="auto"/>
        <w:ind w:left="630"/>
        <w:jc w:val="both"/>
        <w:rPr>
          <w:rFonts w:ascii="Tahoma" w:eastAsia="Times New Roman" w:hAnsi="Tahoma" w:cs="Tahoma"/>
          <w:color w:val="222222"/>
          <w:sz w:val="24"/>
          <w:szCs w:val="24"/>
          <w:lang w:eastAsia="pt-BR"/>
        </w:rPr>
      </w:pPr>
      <w:r w:rsidRPr="00A43699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t>Elevação da indenização por morte em decorrência de assalto, de R$ 316,6 mil para R$ 550,5 mil;</w:t>
      </w:r>
    </w:p>
    <w:p w:rsidR="00772D4E" w:rsidRPr="00A43699" w:rsidRDefault="00772D4E" w:rsidP="00A43699">
      <w:pPr>
        <w:numPr>
          <w:ilvl w:val="0"/>
          <w:numId w:val="1"/>
        </w:numPr>
        <w:spacing w:after="0" w:line="360" w:lineRule="auto"/>
        <w:ind w:left="630"/>
        <w:jc w:val="both"/>
        <w:rPr>
          <w:rFonts w:ascii="Tahoma" w:eastAsia="Times New Roman" w:hAnsi="Tahoma" w:cs="Tahoma"/>
          <w:color w:val="222222"/>
          <w:sz w:val="24"/>
          <w:szCs w:val="24"/>
          <w:lang w:eastAsia="pt-BR"/>
        </w:rPr>
      </w:pPr>
      <w:r w:rsidRPr="00A43699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t>Apresentação de alternativas para o enfrentamento do endividamento dos funcionários, no prazo de até 60 dias;</w:t>
      </w:r>
    </w:p>
    <w:p w:rsidR="00772D4E" w:rsidRPr="00A43699" w:rsidRDefault="00772D4E" w:rsidP="00A43699">
      <w:pPr>
        <w:numPr>
          <w:ilvl w:val="0"/>
          <w:numId w:val="1"/>
        </w:numPr>
        <w:spacing w:after="0" w:line="360" w:lineRule="auto"/>
        <w:ind w:left="630"/>
        <w:jc w:val="both"/>
        <w:rPr>
          <w:rFonts w:ascii="Tahoma" w:eastAsia="Times New Roman" w:hAnsi="Tahoma" w:cs="Tahoma"/>
          <w:color w:val="222222"/>
          <w:sz w:val="24"/>
          <w:szCs w:val="24"/>
          <w:lang w:eastAsia="pt-BR"/>
        </w:rPr>
      </w:pPr>
      <w:r w:rsidRPr="00A43699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t>Continuidade das avaliações, encaminhamentos e diálogos sobre saúde e previdência dos egressos dos bancos incorporados, com acompanhamento da entidade sindical e compromisso de inclusão da medida no ACT;</w:t>
      </w:r>
    </w:p>
    <w:p w:rsidR="00772D4E" w:rsidRPr="00A43699" w:rsidRDefault="00772D4E" w:rsidP="00A43699">
      <w:pPr>
        <w:numPr>
          <w:ilvl w:val="0"/>
          <w:numId w:val="1"/>
        </w:numPr>
        <w:spacing w:after="0" w:line="360" w:lineRule="auto"/>
        <w:ind w:left="630"/>
        <w:jc w:val="both"/>
        <w:rPr>
          <w:rFonts w:ascii="Tahoma" w:eastAsia="Times New Roman" w:hAnsi="Tahoma" w:cs="Tahoma"/>
          <w:color w:val="222222"/>
          <w:sz w:val="24"/>
          <w:szCs w:val="24"/>
          <w:lang w:eastAsia="pt-BR"/>
        </w:rPr>
      </w:pPr>
      <w:r w:rsidRPr="00A43699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t>8 dias de afastamento para funcionários que formalizarem união estável;</w:t>
      </w:r>
    </w:p>
    <w:p w:rsidR="00772D4E" w:rsidRPr="00A43699" w:rsidRDefault="00772D4E" w:rsidP="00A43699">
      <w:pPr>
        <w:numPr>
          <w:ilvl w:val="0"/>
          <w:numId w:val="1"/>
        </w:numPr>
        <w:spacing w:after="0" w:line="360" w:lineRule="auto"/>
        <w:ind w:left="630"/>
        <w:jc w:val="both"/>
        <w:rPr>
          <w:rFonts w:ascii="Tahoma" w:eastAsia="Times New Roman" w:hAnsi="Tahoma" w:cs="Tahoma"/>
          <w:color w:val="222222"/>
          <w:sz w:val="24"/>
          <w:szCs w:val="24"/>
          <w:lang w:eastAsia="pt-BR"/>
        </w:rPr>
      </w:pPr>
      <w:r w:rsidRPr="00A43699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t xml:space="preserve">Abono de até cinco dias para realização das certificações da </w:t>
      </w:r>
      <w:proofErr w:type="spellStart"/>
      <w:r w:rsidRPr="00A43699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t>Anbima</w:t>
      </w:r>
      <w:proofErr w:type="spellEnd"/>
      <w:r w:rsidRPr="00A43699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t>;</w:t>
      </w:r>
    </w:p>
    <w:p w:rsidR="00772D4E" w:rsidRPr="00A43699" w:rsidRDefault="00772D4E" w:rsidP="00A43699">
      <w:pPr>
        <w:numPr>
          <w:ilvl w:val="0"/>
          <w:numId w:val="1"/>
        </w:numPr>
        <w:spacing w:after="0" w:line="360" w:lineRule="auto"/>
        <w:ind w:left="630"/>
        <w:jc w:val="both"/>
        <w:rPr>
          <w:rFonts w:ascii="Tahoma" w:eastAsia="Times New Roman" w:hAnsi="Tahoma" w:cs="Tahoma"/>
          <w:color w:val="222222"/>
          <w:sz w:val="24"/>
          <w:szCs w:val="24"/>
          <w:lang w:eastAsia="pt-BR"/>
        </w:rPr>
      </w:pPr>
      <w:r w:rsidRPr="00A43699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t>Compromisso com o desenvolvimento e a requalificação profissional das funcionárias e dos funcionários;</w:t>
      </w:r>
    </w:p>
    <w:p w:rsidR="00772D4E" w:rsidRPr="00A43699" w:rsidRDefault="00772D4E" w:rsidP="00A43699">
      <w:pPr>
        <w:numPr>
          <w:ilvl w:val="0"/>
          <w:numId w:val="1"/>
        </w:numPr>
        <w:spacing w:after="0" w:line="360" w:lineRule="auto"/>
        <w:ind w:left="630"/>
        <w:jc w:val="both"/>
        <w:rPr>
          <w:rFonts w:ascii="Tahoma" w:eastAsia="Times New Roman" w:hAnsi="Tahoma" w:cs="Tahoma"/>
          <w:color w:val="222222"/>
          <w:sz w:val="24"/>
          <w:szCs w:val="24"/>
          <w:lang w:eastAsia="pt-BR"/>
        </w:rPr>
      </w:pPr>
      <w:r w:rsidRPr="00A43699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t xml:space="preserve">Ampliação do Programa de Apoio à Mobilidade de Dependentes </w:t>
      </w:r>
      <w:proofErr w:type="spellStart"/>
      <w:r w:rsidRPr="00A43699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t>PCDs</w:t>
      </w:r>
      <w:proofErr w:type="spellEnd"/>
      <w:r w:rsidRPr="00A43699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t xml:space="preserve"> (PAS) para pais e mães de dependentes </w:t>
      </w:r>
      <w:proofErr w:type="spellStart"/>
      <w:r w:rsidRPr="00A43699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t>PCDs</w:t>
      </w:r>
      <w:proofErr w:type="spellEnd"/>
      <w:r w:rsidRPr="00A43699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t>, com antecipação salarial para aquisição de veículos de até R$ 100 mil, prazo de pagamento de até 96 meses, sem juros e limite correspondente a 12 salários. A medida amplia o número de potenciais beneficiários de 3.404 para 7.271;</w:t>
      </w:r>
    </w:p>
    <w:p w:rsidR="00772D4E" w:rsidRPr="00A43699" w:rsidRDefault="00772D4E" w:rsidP="00A43699">
      <w:pPr>
        <w:numPr>
          <w:ilvl w:val="0"/>
          <w:numId w:val="1"/>
        </w:numPr>
        <w:spacing w:after="0" w:line="360" w:lineRule="auto"/>
        <w:ind w:left="630"/>
        <w:jc w:val="both"/>
        <w:rPr>
          <w:rFonts w:ascii="Tahoma" w:eastAsia="Times New Roman" w:hAnsi="Tahoma" w:cs="Tahoma"/>
          <w:color w:val="222222"/>
          <w:sz w:val="24"/>
          <w:szCs w:val="24"/>
          <w:lang w:eastAsia="pt-BR"/>
        </w:rPr>
      </w:pPr>
      <w:r w:rsidRPr="00A43699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t xml:space="preserve">Ampliação de duas para cinco jornadas de trabalho por ano destinadas a funcionários </w:t>
      </w:r>
      <w:proofErr w:type="spellStart"/>
      <w:r w:rsidRPr="00A43699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t>PCDs</w:t>
      </w:r>
      <w:proofErr w:type="spellEnd"/>
      <w:r w:rsidRPr="00A43699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t xml:space="preserve"> para realização de reparos em seus equipamentos;</w:t>
      </w:r>
    </w:p>
    <w:p w:rsidR="00772D4E" w:rsidRPr="00A43699" w:rsidRDefault="00772D4E" w:rsidP="00A43699">
      <w:pPr>
        <w:numPr>
          <w:ilvl w:val="0"/>
          <w:numId w:val="1"/>
        </w:numPr>
        <w:spacing w:after="0" w:line="360" w:lineRule="auto"/>
        <w:ind w:left="630"/>
        <w:jc w:val="both"/>
        <w:rPr>
          <w:rFonts w:ascii="Tahoma" w:eastAsia="Times New Roman" w:hAnsi="Tahoma" w:cs="Tahoma"/>
          <w:color w:val="222222"/>
          <w:sz w:val="24"/>
          <w:szCs w:val="24"/>
          <w:lang w:eastAsia="pt-BR"/>
        </w:rPr>
      </w:pPr>
      <w:r w:rsidRPr="00A43699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t>Inclusão no ACT de políticas de ações afirmativas, priorizando mulheres, pessoas com deficiência e pessoas não brancas nos processos seletivos internos;</w:t>
      </w:r>
    </w:p>
    <w:p w:rsidR="00772D4E" w:rsidRPr="00A43699" w:rsidRDefault="00772D4E" w:rsidP="00A43699">
      <w:pPr>
        <w:numPr>
          <w:ilvl w:val="0"/>
          <w:numId w:val="1"/>
        </w:numPr>
        <w:spacing w:after="0" w:line="360" w:lineRule="auto"/>
        <w:ind w:left="630"/>
        <w:jc w:val="both"/>
        <w:rPr>
          <w:rFonts w:ascii="Tahoma" w:eastAsia="Times New Roman" w:hAnsi="Tahoma" w:cs="Tahoma"/>
          <w:color w:val="222222"/>
          <w:sz w:val="24"/>
          <w:szCs w:val="24"/>
          <w:lang w:eastAsia="pt-BR"/>
        </w:rPr>
      </w:pPr>
      <w:r w:rsidRPr="00A43699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t>Estabilidade na função comissionada por seis meses após o retorno ao trabalho para funcionárias vítimas de violência doméstica;</w:t>
      </w:r>
    </w:p>
    <w:p w:rsidR="00772D4E" w:rsidRPr="00A43699" w:rsidRDefault="00772D4E" w:rsidP="00A43699">
      <w:pPr>
        <w:numPr>
          <w:ilvl w:val="0"/>
          <w:numId w:val="1"/>
        </w:numPr>
        <w:spacing w:after="0" w:line="360" w:lineRule="auto"/>
        <w:ind w:left="630"/>
        <w:jc w:val="both"/>
        <w:rPr>
          <w:rFonts w:ascii="Tahoma" w:eastAsia="Times New Roman" w:hAnsi="Tahoma" w:cs="Tahoma"/>
          <w:color w:val="222222"/>
          <w:sz w:val="24"/>
          <w:szCs w:val="24"/>
          <w:lang w:eastAsia="pt-BR"/>
        </w:rPr>
      </w:pPr>
      <w:r w:rsidRPr="00A43699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lastRenderedPageBreak/>
        <w:t xml:space="preserve">Redução de jornada para mulheres em lactação induzida, com extensão do direito a casais </w:t>
      </w:r>
      <w:proofErr w:type="spellStart"/>
      <w:r w:rsidRPr="00A43699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t>homoafetivos</w:t>
      </w:r>
      <w:proofErr w:type="spellEnd"/>
      <w:r w:rsidRPr="00A43699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t xml:space="preserve"> em que as duas mães sejam funcionárias do Banco do Brasil.</w:t>
      </w:r>
    </w:p>
    <w:p w:rsidR="00772D4E" w:rsidRPr="00772D4E" w:rsidRDefault="00772D4E" w:rsidP="00772D4E">
      <w:pPr>
        <w:spacing w:after="0" w:line="450" w:lineRule="atLeast"/>
        <w:outlineLvl w:val="2"/>
        <w:rPr>
          <w:rFonts w:ascii="Arial" w:eastAsia="Times New Roman" w:hAnsi="Arial" w:cs="Arial"/>
          <w:b/>
          <w:bCs/>
          <w:color w:val="3E3232"/>
          <w:sz w:val="27"/>
          <w:szCs w:val="27"/>
          <w:lang w:eastAsia="pt-BR"/>
        </w:rPr>
      </w:pPr>
    </w:p>
    <w:p w:rsidR="00600038" w:rsidRPr="00772D4E" w:rsidRDefault="00600038">
      <w:pPr>
        <w:rPr>
          <w:rFonts w:ascii="Arial" w:hAnsi="Arial" w:cs="Arial"/>
        </w:rPr>
      </w:pPr>
    </w:p>
    <w:sectPr w:rsidR="00600038" w:rsidRPr="00772D4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B166626"/>
    <w:multiLevelType w:val="multilevel"/>
    <w:tmpl w:val="355C7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D4E"/>
    <w:rsid w:val="00600038"/>
    <w:rsid w:val="00772D4E"/>
    <w:rsid w:val="00A43699"/>
    <w:rsid w:val="00F91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70C5AA-66E5-49C9-8BD3-F898610F0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772D4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tulo3">
    <w:name w:val="heading 3"/>
    <w:basedOn w:val="Normal"/>
    <w:link w:val="Ttulo3Char"/>
    <w:uiPriority w:val="9"/>
    <w:qFormat/>
    <w:rsid w:val="00772D4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772D4E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772D4E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772D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606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71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215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286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623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3025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5473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5892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84662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370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443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178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282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315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114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23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582</Words>
  <Characters>3145</Characters>
  <Application>Microsoft Office Word</Application>
  <DocSecurity>0</DocSecurity>
  <Lines>26</Lines>
  <Paragraphs>7</Paragraphs>
  <ScaleCrop>false</ScaleCrop>
  <Company/>
  <LinksUpToDate>false</LinksUpToDate>
  <CharactersWithSpaces>3720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ADELMO-IMPRENSA</dc:creator>
  <cp:keywords/>
  <dc:description/>
  <cp:lastModifiedBy>JORNALISTA04</cp:lastModifiedBy>
  <cp:revision>4</cp:revision>
  <dcterms:created xsi:type="dcterms:W3CDTF">2026-09-03T14:09:00Z</dcterms:created>
  <dcterms:modified xsi:type="dcterms:W3CDTF">2026-09-03T15:12:00Z</dcterms:modified>
</cp:coreProperties>
</file>